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TY2022</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TY2022.</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Suman</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Madhusmita</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Maroju</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Barman</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202717993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973-94-9269</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10/09/1986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07/01/1988</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Housewife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Bloomfield Court</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Eureka</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63025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Bloomfield Court</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Eureka</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63025</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5204910337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sumanmaroju100@gmail.com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9/4/2016</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2022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 filing jointly</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2023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(470)-480-1883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2160" w:firstLine="144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545"/>
        <w:gridCol w:w="5130"/>
      </w:tblGrid>
      <w:tr>
        <w:trPr>
          <w:trHeight w:val="324" w:hRule="auto"/>
          <w:jc w:val="left"/>
        </w:trPr>
        <w:tc>
          <w:tcPr>
            <w:tcW w:w="7675"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3"/>
                <w:position w:val="-1"/>
                <w:sz w:val="24"/>
                <w:shd w:fill="auto" w:val="clear"/>
              </w:rPr>
            </w:pPr>
            <w:r>
              <w:rPr>
                <w:rFonts w:ascii="Calibri" w:hAnsi="Calibri" w:cs="Calibri" w:eastAsia="Calibri"/>
                <w:color w:val="auto"/>
                <w:spacing w:val="-3"/>
                <w:position w:val="-1"/>
                <w:sz w:val="24"/>
                <w:shd w:fill="auto" w:val="clear"/>
              </w:rPr>
              <w:t xml:space="preserve">BANK ROUTING NUMBER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(PAPER OR ELECTRONIC)</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01/01/2022</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12/31/2022</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12/31/2022</w:t>
            </w: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01/01/2021</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12/31/2022</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01/01/2021</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12/31/2021</w:t>
            </w: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01/01/2020</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12/31/2022</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02/07/2020</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12/31/2020</w:t>
            </w: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(TY2022).</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Paid home mortgage</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738"/>
        <w:gridCol w:w="2887"/>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           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2022</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BMW528I</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80000</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Or Environment Saving Assets purchased</w:t>
      </w:r>
      <w:r>
        <w:rPr>
          <w:rFonts w:ascii="Calibri" w:hAnsi="Calibri" w:cs="Calibri" w:eastAsia="Calibri"/>
          <w:b/>
          <w:color w:val="4F6228"/>
          <w:spacing w:val="0"/>
          <w:position w:val="0"/>
          <w:sz w:val="24"/>
          <w:shd w:fill="auto" w:val="clear"/>
        </w:rPr>
        <w:t xml:space="preserv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2022</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Ameritrae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Robinhood</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4"/>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7"/>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2022</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TY-2022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2022)</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01st Jan To 31st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44">
    <w:abstractNumId w:val="6"/>
  </w:num>
  <w:num w:numId="2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